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vanish/>
          <w:sz w:val="24"/>
          <w:szCs w:val="24"/>
        </w:rPr>
      </w:pPr>
    </w:p>
    <w:tbl>
      <w:tblPr>
        <w:tblW w:w="9750" w:type="dxa"/>
        <w:jc w:val="center"/>
        <w:tblCellSpacing w:w="0" w:type="dxa"/>
        <w:tblInd w:w="-722" w:type="dxa"/>
        <w:shd w:val="clear" w:color="auto" w:fill="FFFFFF"/>
        <w:tblLayout w:type="fixed"/>
        <w:tblCellMar>
          <w:top w:w="0" w:type="dxa"/>
          <w:left w:w="0" w:type="dxa"/>
          <w:bottom w:w="0" w:type="dxa"/>
          <w:right w:w="0" w:type="dxa"/>
        </w:tblCellMar>
      </w:tblPr>
      <w:tblGrid>
        <w:gridCol w:w="9750"/>
      </w:tblGrid>
      <w:tr>
        <w:tblPrEx>
          <w:shd w:val="clear" w:color="auto" w:fill="FFFFFF"/>
          <w:tblLayout w:type="fixed"/>
          <w:tblCellMar>
            <w:top w:w="0" w:type="dxa"/>
            <w:left w:w="0" w:type="dxa"/>
            <w:bottom w:w="0" w:type="dxa"/>
            <w:right w:w="0" w:type="dxa"/>
          </w:tblCellMar>
        </w:tblPrEx>
        <w:trPr>
          <w:tblCellSpacing w:w="0" w:type="dxa"/>
          <w:jc w:val="center"/>
        </w:trPr>
        <w:tc>
          <w:tcPr>
            <w:tcW w:w="9750" w:type="dxa"/>
            <w:shd w:val="clear" w:color="auto" w:fill="FFFFFF"/>
            <w:vAlign w:val="top"/>
          </w:tcPr>
          <w:p>
            <w:pPr>
              <w:keepNext w:val="0"/>
              <w:keepLines w:val="0"/>
              <w:widowControl/>
              <w:suppressLineNumbers w:val="0"/>
              <w:ind w:left="0" w:firstLine="0"/>
              <w:jc w:val="center"/>
              <w:rPr>
                <w:rFonts w:hint="eastAsia" w:ascii="宋体" w:hAnsi="宋体" w:eastAsia="宋体" w:cs="宋体"/>
                <w:caps w:val="0"/>
                <w:spacing w:val="0"/>
              </w:rPr>
            </w:pPr>
            <w:r>
              <w:rPr>
                <w:rFonts w:hint="eastAsia" w:ascii="宋体" w:hAnsi="宋体" w:eastAsia="宋体" w:cs="宋体"/>
                <w:caps w:val="0"/>
                <w:spacing w:val="0"/>
                <w:kern w:val="0"/>
                <w:sz w:val="24"/>
                <w:szCs w:val="24"/>
                <w:lang w:val="en-US" w:eastAsia="zh-CN" w:bidi="ar"/>
              </w:rPr>
              <w:t> </w:t>
            </w:r>
          </w:p>
          <w:p>
            <w:pPr>
              <w:keepNext w:val="0"/>
              <w:keepLines w:val="0"/>
              <w:widowControl/>
              <w:suppressLineNumbers w:val="0"/>
              <w:ind w:left="0" w:firstLine="0"/>
              <w:jc w:val="right"/>
              <w:rPr>
                <w:rFonts w:hint="eastAsia" w:ascii="宋体" w:hAnsi="宋体" w:eastAsia="宋体" w:cs="宋体"/>
                <w:caps w:val="0"/>
                <w:spacing w:val="0"/>
              </w:rPr>
            </w:pPr>
            <w:r>
              <w:rPr>
                <w:rFonts w:hint="eastAsia" w:ascii="宋体" w:hAnsi="宋体" w:eastAsia="宋体" w:cs="宋体"/>
                <w:caps w:val="0"/>
                <w:spacing w:val="0"/>
                <w:kern w:val="0"/>
                <w:sz w:val="18"/>
                <w:szCs w:val="18"/>
                <w:lang w:val="en-US" w:eastAsia="zh-CN" w:bidi="ar"/>
              </w:rPr>
              <w:t>教社科司函〔2018〕46号</w:t>
            </w:r>
          </w:p>
          <w:p>
            <w:pPr>
              <w:keepNext w:val="0"/>
              <w:keepLines w:val="0"/>
              <w:widowControl/>
              <w:suppressLineNumbers w:val="0"/>
              <w:jc w:val="left"/>
            </w:pPr>
            <w:r>
              <w:rPr>
                <w:rFonts w:hint="eastAsia" w:ascii="宋体" w:hAnsi="宋体" w:eastAsia="宋体" w:cs="宋体"/>
                <w:caps w:val="0"/>
                <w:spacing w:val="0"/>
                <w:kern w:val="0"/>
                <w:sz w:val="24"/>
                <w:szCs w:val="24"/>
                <w:lang w:val="en-US" w:eastAsia="zh-CN" w:bidi="ar"/>
              </w:rPr>
              <w:t> </w:t>
            </w:r>
          </w:p>
          <w:tbl>
            <w:tblPr>
              <w:tblW w:w="9750" w:type="dxa"/>
              <w:jc w:val="center"/>
              <w:tblCellSpacing w:w="0" w:type="dxa"/>
              <w:tblInd w:w="0" w:type="dxa"/>
              <w:shd w:val="clear"/>
              <w:tblLayout w:type="fixed"/>
              <w:tblCellMar>
                <w:top w:w="0" w:type="dxa"/>
                <w:left w:w="0" w:type="dxa"/>
                <w:bottom w:w="0" w:type="dxa"/>
                <w:right w:w="0" w:type="dxa"/>
              </w:tblCellMar>
            </w:tblPr>
            <w:tblGrid>
              <w:gridCol w:w="9750"/>
            </w:tblGrid>
            <w:tr>
              <w:tblPrEx>
                <w:shd w:val="clear"/>
                <w:tblLayout w:type="fixed"/>
              </w:tblPrEx>
              <w:trPr>
                <w:tblCellSpacing w:w="0" w:type="dxa"/>
                <w:jc w:val="center"/>
              </w:trPr>
              <w:tc>
                <w:tcPr>
                  <w:tcW w:w="9750" w:type="dxa"/>
                  <w:shd w:val="clear"/>
                  <w:vAlign w:val="bottom"/>
                </w:tcPr>
                <w:tbl>
                  <w:tblPr>
                    <w:tblW w:w="8775" w:type="dxa"/>
                    <w:jc w:val="center"/>
                    <w:tblCellSpacing w:w="0" w:type="dxa"/>
                    <w:tblInd w:w="488" w:type="dxa"/>
                    <w:shd w:val="clear"/>
                    <w:tblLayout w:type="fixed"/>
                    <w:tblCellMar>
                      <w:top w:w="0" w:type="dxa"/>
                      <w:left w:w="0" w:type="dxa"/>
                      <w:bottom w:w="0" w:type="dxa"/>
                      <w:right w:w="0" w:type="dxa"/>
                    </w:tblCellMar>
                  </w:tblPr>
                  <w:tblGrid>
                    <w:gridCol w:w="8775"/>
                  </w:tblGrid>
                  <w:tr>
                    <w:tblPrEx>
                      <w:shd w:val="clear"/>
                      <w:tblLayout w:type="fixed"/>
                      <w:tblCellMar>
                        <w:top w:w="0" w:type="dxa"/>
                        <w:left w:w="0" w:type="dxa"/>
                        <w:bottom w:w="0" w:type="dxa"/>
                        <w:right w:w="0" w:type="dxa"/>
                      </w:tblCellMar>
                    </w:tblPrEx>
                    <w:trPr>
                      <w:tblCellSpacing w:w="0" w:type="dxa"/>
                      <w:jc w:val="center"/>
                    </w:trPr>
                    <w:tc>
                      <w:tcPr>
                        <w:tcW w:w="8775" w:type="dxa"/>
                        <w:shd w:val="clear"/>
                        <w:vAlign w:val="center"/>
                      </w:tcPr>
                      <w:p>
                        <w:pPr>
                          <w:pStyle w:val="2"/>
                          <w:keepNext w:val="0"/>
                          <w:keepLines w:val="0"/>
                          <w:widowControl/>
                          <w:suppressLineNumbers w:val="0"/>
                          <w:jc w:val="center"/>
                          <w:rPr>
                            <w:b/>
                            <w:color w:val="000000"/>
                            <w:sz w:val="30"/>
                            <w:szCs w:val="30"/>
                          </w:rPr>
                        </w:pPr>
                        <w:bookmarkStart w:id="0" w:name="_GoBack"/>
                        <w:r>
                          <w:rPr>
                            <w:b/>
                            <w:color w:val="000000"/>
                            <w:sz w:val="30"/>
                            <w:szCs w:val="30"/>
                          </w:rPr>
                          <w:t>教育部社科司关于2018年度教育部人文社会科学研究专项任务项目（高校思想政治工作）申报工作的通知 </w:t>
                        </w:r>
                        <w:bookmarkEnd w:id="0"/>
                        <w:r>
                          <w:rPr>
                            <w:b/>
                            <w:color w:val="000000"/>
                            <w:sz w:val="30"/>
                            <w:szCs w:val="30"/>
                          </w:rPr>
                          <w:br w:type="textWrapping"/>
                        </w:r>
                        <w:r>
                          <w:rPr>
                            <w:b/>
                            <w:color w:val="000000"/>
                            <w:sz w:val="30"/>
                            <w:szCs w:val="30"/>
                          </w:rPr>
                          <w:t> </w:t>
                        </w:r>
                      </w:p>
                    </w:tc>
                  </w:tr>
                </w:tbl>
                <w:p>
                  <w:pPr>
                    <w:jc w:val="center"/>
                  </w:pPr>
                </w:p>
              </w:tc>
            </w:tr>
            <w:tr>
              <w:tblPrEx>
                <w:shd w:val="clear"/>
                <w:tblLayout w:type="fixed"/>
                <w:tblCellMar>
                  <w:top w:w="0" w:type="dxa"/>
                  <w:left w:w="0" w:type="dxa"/>
                  <w:bottom w:w="0" w:type="dxa"/>
                  <w:right w:w="0" w:type="dxa"/>
                </w:tblCellMar>
              </w:tblPrEx>
              <w:trPr>
                <w:tblCellSpacing w:w="0" w:type="dxa"/>
                <w:jc w:val="center"/>
              </w:trPr>
              <w:tc>
                <w:tcPr>
                  <w:tcW w:w="9750" w:type="dxa"/>
                  <w:shd w:val="clear"/>
                  <w:vAlign w:val="top"/>
                </w:tcPr>
                <w:p>
                  <w:pPr>
                    <w:rPr>
                      <w:rFonts w:hint="eastAsia" w:ascii="宋体"/>
                      <w:sz w:val="24"/>
                      <w:szCs w:val="24"/>
                    </w:rPr>
                  </w:pPr>
                </w:p>
              </w:tc>
            </w:tr>
            <w:tr>
              <w:tblPrEx>
                <w:shd w:val="clear"/>
                <w:tblLayout w:type="fixed"/>
                <w:tblCellMar>
                  <w:top w:w="0" w:type="dxa"/>
                  <w:left w:w="0" w:type="dxa"/>
                  <w:bottom w:w="0" w:type="dxa"/>
                  <w:right w:w="0" w:type="dxa"/>
                </w:tblCellMar>
              </w:tblPrEx>
              <w:trPr>
                <w:tblCellSpacing w:w="0" w:type="dxa"/>
                <w:jc w:val="center"/>
              </w:trPr>
              <w:tc>
                <w:tcPr>
                  <w:tcW w:w="9750" w:type="dxa"/>
                  <w:shd w:val="clear"/>
                  <w:vAlign w:val="center"/>
                </w:tcPr>
                <w:p>
                  <w:pPr>
                    <w:pStyle w:val="3"/>
                    <w:keepNext w:val="0"/>
                    <w:keepLines w:val="0"/>
                    <w:widowControl/>
                    <w:suppressLineNumbers w:val="0"/>
                    <w:spacing w:line="355" w:lineRule="atLeast"/>
                  </w:pPr>
                  <w:r>
                    <w:rPr>
                      <w:rFonts w:ascii="Arial" w:hAnsi="Arial" w:cs="Arial"/>
                      <w:sz w:val="22"/>
                      <w:szCs w:val="22"/>
                    </w:rPr>
                    <w:t> 各省、自治区、直辖市教育厅（教委），新疆生产建设兵团教育局，有关部门（单位）教育司（局），部属各高等学校：</w:t>
                  </w:r>
                </w:p>
                <w:p>
                  <w:pPr>
                    <w:keepNext w:val="0"/>
                    <w:keepLines w:val="0"/>
                    <w:widowControl/>
                    <w:suppressLineNumbers w:val="0"/>
                    <w:spacing w:line="355" w:lineRule="atLeast"/>
                    <w:jc w:val="left"/>
                    <w:rPr>
                      <w:sz w:val="22"/>
                      <w:szCs w:val="22"/>
                    </w:rPr>
                  </w:pPr>
                  <w:r>
                    <w:rPr>
                      <w:rFonts w:hint="default" w:ascii="Arial" w:hAnsi="Arial" w:eastAsia="宋体" w:cs="Arial"/>
                      <w:kern w:val="0"/>
                      <w:sz w:val="22"/>
                      <w:szCs w:val="22"/>
                      <w:lang w:val="en-US" w:eastAsia="zh-CN" w:bidi="ar"/>
                    </w:rPr>
                    <w:t>　　根据《教育部人文社会科学研究专项任务项目（高校思想政治工作）管理办法（试行）》（教思政司函〔2014〕2号），为做好2018年度教育部人文社会科学研究专项任务项目（高校思想政治工作）申报工作，现将有关事项通知如下：</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w:t>
                  </w:r>
                  <w:r>
                    <w:rPr>
                      <w:rStyle w:val="5"/>
                      <w:rFonts w:hint="default" w:ascii="Arial" w:hAnsi="Arial" w:eastAsia="宋体" w:cs="Arial"/>
                      <w:kern w:val="0"/>
                      <w:sz w:val="22"/>
                      <w:szCs w:val="22"/>
                      <w:lang w:val="en-US" w:eastAsia="zh-CN" w:bidi="ar"/>
                    </w:rPr>
                    <w:t>一、指导思想 </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高举中国特色社会主义伟大旗帜，深入学习研究宣传贯彻习近平新时代中国特色社会主义思想和党的十九大精神，全面贯彻落实全国高校思想政治工作会议精神，以重大理论与现实问题为主攻方向，坚持基础研究和应用研究并重，进一步提升高校思想政治工作研究质量，推动高校加快构建一体化育人体系，着力打通育人最后一公里，切实形成全员全程全方位育人格局，努力培养担当民族复兴大任的时代新人。 </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w:t>
                  </w:r>
                  <w:r>
                    <w:rPr>
                      <w:rStyle w:val="5"/>
                      <w:rFonts w:hint="default" w:ascii="Arial" w:hAnsi="Arial" w:eastAsia="宋体" w:cs="Arial"/>
                      <w:kern w:val="0"/>
                      <w:sz w:val="22"/>
                      <w:szCs w:val="22"/>
                      <w:lang w:val="en-US" w:eastAsia="zh-CN" w:bidi="ar"/>
                    </w:rPr>
                    <w:t>二、申报内容</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1.本专项任务项目申报可根据课题指南（见附件）提出的重点研究方向申报，也可在符合课题指南宗旨前提下，结合实际自拟题目，并在课题名称后用括号注明所依托重点研究方向的序号。</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2.项目类别及资助额度。（1）思想政治工作课题，原则上每项资助10万元，研究周期为3年；（2）辅导员骨干专项课题，原则上每项资助2万元，研究周期为1年。</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w:t>
                  </w:r>
                  <w:r>
                    <w:rPr>
                      <w:rStyle w:val="5"/>
                      <w:rFonts w:hint="default" w:ascii="Arial" w:hAnsi="Arial" w:eastAsia="宋体" w:cs="Arial"/>
                      <w:kern w:val="0"/>
                      <w:sz w:val="22"/>
                      <w:szCs w:val="22"/>
                      <w:lang w:val="en-US" w:eastAsia="zh-CN" w:bidi="ar"/>
                    </w:rPr>
                    <w:t>三、申报条件</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1.本专项任务项目限全国普通高等学校申报。每所高校限报每类课题2项；教育部高校辅导员培训和研修基地可单独申报1项。</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2.辅导员骨干专项课题限高校专职辅导员（指在院系一线从事大学生思想政治教育工作的在编在岗人员，包括院系党总支副书记、学工组长、团总支书记等）申报。</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3.申请者必须能够实际从事研究工作并真正承担和负责组织项目的实施；每个申请者限报1项，所列课题组成员必须征得本人同意并签字，否则视为违规申报。</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4.有以下情况之一者不得申报本次项目：</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（1）在研的教育部人文社会科学研究项目（含重大攻关项目、基地重大项目、后期资助项目、一般项目等）负责人；</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（2）所主持的教育部人文社会科学研究项目自2015年（含）以来因各种原因被撤销者；</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（3）在研的国家社科基金项目（含重大招标项目、重点项目、一般项目、青年项目、后期资助项目、西部项目和单列学科项目等）、国家自然科学基金各类项目负责人，以上项目若已结项需附相关证明；</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（4）申请2018年度教育部人文社会科学研究一般项目其他类别项目者;</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（5）连续两年（指2016、2017年）申请教育部一般项目（含专项任务项目）未获资助的申请人，暂停2018年本专项申报资格;</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（6）申请2018年度国家社科基金项目的负责人同年度不能申请本专项。</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w:t>
                  </w:r>
                  <w:r>
                    <w:rPr>
                      <w:rStyle w:val="5"/>
                      <w:rFonts w:hint="default" w:ascii="Arial" w:hAnsi="Arial" w:eastAsia="宋体" w:cs="Arial"/>
                      <w:kern w:val="0"/>
                      <w:sz w:val="22"/>
                      <w:szCs w:val="22"/>
                      <w:lang w:val="en-US" w:eastAsia="zh-CN" w:bidi="ar"/>
                    </w:rPr>
                    <w:t>四、申报办法及程序</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本专项任务项目以高校为单位集中申报，不受理个人申报。具体申报办法和程序如下：</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1.本专项任务项目采取网上申报方式。《教育部人文社会科学研究专项任务项目申请评审书》（以下简称《申请评审书》）启用2018年新版本，以前版本无效。</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2.教育部人文社会科学研究管理平台项目申报系统（以下简称申报系统）为本次项目申报平台，请及时关注教育部社科司主页（www.moe.edu.cn/s78/A13/）和中国高校人文社会科学信息网（www.sinoss.net），网络申报办法和流程以该系统为准。</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3.自2018年2月14日开始受理项目网上申报。申请者可访问申报系统下载《申请评审书》，按申报系统提示说明及《申请评审书》填表要求用计算机填写、打印，并由高校科研管理部门通过申报系统上传《申请评审书》的电子文档。</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其中，申报辅导员骨干专项课题的高校专职辅导员在填写《申请评审书》“申请者本人近三年来主要研究成果”栏时，请同时填写个人工作实绩。</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4.项目经费按照《高等学校哲学社会科学繁荣计划专项资金管理办法》（财教〔2016〕317号），实行严格规范的预决算管理。申请者应在研究期限内，根据实际需求准确测算总经费预算，合理分配分年度经费预算。经费预算合理性作为评审的重要内容，不切实际的经费预算将影响专家评审结果。</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5.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有关申报系统及技术问题咨询电话：010-62510667，15313766307，15313766308;信箱：xmsb2018@sinoss.net。</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6.本次项目网络申报截止日期为2018年3月12日，申报单位须在此之前对本单位所申报的材料进行在线审核确认，并于2018年3月16日前报送以下纸质材料：</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（1）高校科研管理部门在线打印《教育部人文社会科学研究专项任务项目（高校思想政治工作）申报一览表》（以下简称《申报一览表》）1份并加盖学校公章。</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（2）《申请评审书》（全表）纸质件1份，并按要求签字盖章，统一用A4纸打印，左侧装订。要求《申请评审书》的编排顺序须与《申报一览表》的打印顺序一致。</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（3）本单位计划内财务拨款账户请登录教育部人文社会科学研究管理平台进行核对，如拨款账户信息有变更，请务必及时在平台系统内修改。</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寄送地址：北京市海淀区新街口外大街19号北京师范大学科技楼C区1001室，北京师范大学社科管理咨询服务中心，邮编100875。</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联系人：范明宇;联系电话：010-58805145，58802707；传真：010-58803011；电子信箱：moesk@bnu.edu.cn。</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教育部思想政治工作司联系人：王磊  010-66096328。</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请各单位严格按照上述时间和要求完成申报工作，寄送材料时间以邮戳为准，逾期不予受理。</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w:t>
                  </w:r>
                  <w:r>
                    <w:rPr>
                      <w:rStyle w:val="5"/>
                      <w:rFonts w:hint="default" w:ascii="Arial" w:hAnsi="Arial" w:eastAsia="宋体" w:cs="Arial"/>
                      <w:kern w:val="0"/>
                      <w:sz w:val="22"/>
                      <w:szCs w:val="22"/>
                      <w:lang w:val="en-US" w:eastAsia="zh-CN" w:bidi="ar"/>
                    </w:rPr>
                    <w:t>　五、其他要求</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1.申请者应认真阅研《教育部人文社会科学研究专项任务项目（高校思想政治工作）管理办法（试行）》及以往立项情况，提高申报质量，避免重复申报。</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2.各申报单位网上提交的《申请评审书》和签字盖章的纸质件数量与内容要确保一致，否则不予受理。</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3.本次项目评审采取匿名方式。为保证评审的公平公正，《申请评审书》B表中不得出现申请者姓名、所在学校等有关信息，否则按作废处理。</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4.申请者应如实填报材料，确保无知识产权争议。凡存在弄虚作假、抄袭剽窃等行为的，一经查实即取消三年申请资格。</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5.各申报单位应严格把关，确保填报信息的准确、真实，切实提高项目申报质量。如违规申报，将予以通报批评。</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附件：</w:t>
                  </w:r>
                  <w:r>
                    <w:rPr>
                      <w:rFonts w:hint="default" w:ascii="Arial" w:hAnsi="Arial" w:eastAsia="宋体" w:cs="Arial"/>
                      <w:kern w:val="0"/>
                      <w:sz w:val="22"/>
                      <w:szCs w:val="22"/>
                      <w:lang w:val="en-US" w:eastAsia="zh-CN" w:bidi="ar"/>
                    </w:rPr>
                    <w:fldChar w:fldCharType="begin"/>
                  </w:r>
                  <w:r>
                    <w:rPr>
                      <w:rFonts w:hint="default" w:ascii="Arial" w:hAnsi="Arial" w:eastAsia="宋体" w:cs="Arial"/>
                      <w:kern w:val="0"/>
                      <w:sz w:val="22"/>
                      <w:szCs w:val="22"/>
                      <w:lang w:val="en-US" w:eastAsia="zh-CN" w:bidi="ar"/>
                    </w:rPr>
                    <w:instrText xml:space="preserve"> HYPERLINK "https://www.sinoss.net/uploadfile/2018/0214/20180214102226123.pdf" </w:instrText>
                  </w:r>
                  <w:r>
                    <w:rPr>
                      <w:rFonts w:hint="default" w:ascii="Arial" w:hAnsi="Arial" w:eastAsia="宋体" w:cs="Arial"/>
                      <w:kern w:val="0"/>
                      <w:sz w:val="22"/>
                      <w:szCs w:val="22"/>
                      <w:lang w:val="en-US" w:eastAsia="zh-CN" w:bidi="ar"/>
                    </w:rPr>
                    <w:fldChar w:fldCharType="separate"/>
                  </w:r>
                  <w:r>
                    <w:rPr>
                      <w:rStyle w:val="6"/>
                      <w:rFonts w:hint="default" w:ascii="Arial" w:hAnsi="Arial" w:eastAsia="宋体" w:cs="Arial"/>
                      <w:sz w:val="22"/>
                      <w:szCs w:val="22"/>
                    </w:rPr>
                    <w:t>2018年度教育部人文社会科学研究专项任务项目（高校思想政治工作）课题指南</w:t>
                  </w:r>
                  <w:r>
                    <w:rPr>
                      <w:rFonts w:hint="default" w:ascii="Arial" w:hAnsi="Arial" w:eastAsia="宋体" w:cs="Arial"/>
                      <w:kern w:val="0"/>
                      <w:sz w:val="22"/>
                      <w:szCs w:val="22"/>
                      <w:lang w:val="en-US" w:eastAsia="zh-CN" w:bidi="ar"/>
                    </w:rPr>
                    <w:fldChar w:fldCharType="end"/>
                  </w:r>
                  <w:r>
                    <w:rPr>
                      <w:rFonts w:hint="default" w:ascii="Arial" w:hAnsi="Arial" w:eastAsia="宋体" w:cs="Arial"/>
                      <w:kern w:val="0"/>
                      <w:sz w:val="22"/>
                      <w:szCs w:val="22"/>
                      <w:lang w:val="en-US" w:eastAsia="zh-CN" w:bidi="ar"/>
                    </w:rPr>
                    <w:t>                                 </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w:t>
                  </w:r>
                </w:p>
                <w:p>
                  <w:pPr>
                    <w:keepNext w:val="0"/>
                    <w:keepLines w:val="0"/>
                    <w:widowControl/>
                    <w:suppressLineNumbers w:val="0"/>
                    <w:spacing w:line="355" w:lineRule="atLeast"/>
                    <w:jc w:val="left"/>
                    <w:rPr>
                      <w:rFonts w:hint="default" w:ascii="Arial" w:hAnsi="Arial" w:cs="Arial"/>
                      <w:sz w:val="22"/>
                      <w:szCs w:val="22"/>
                    </w:rPr>
                  </w:pPr>
                  <w:r>
                    <w:rPr>
                      <w:rFonts w:hint="default" w:ascii="Arial" w:hAnsi="Arial" w:eastAsia="宋体" w:cs="Arial"/>
                      <w:kern w:val="0"/>
                      <w:sz w:val="22"/>
                      <w:szCs w:val="22"/>
                      <w:lang w:val="en-US" w:eastAsia="zh-CN" w:bidi="ar"/>
                    </w:rPr>
                    <w:t> </w:t>
                  </w:r>
                </w:p>
                <w:p>
                  <w:pPr>
                    <w:keepNext w:val="0"/>
                    <w:keepLines w:val="0"/>
                    <w:widowControl/>
                    <w:suppressLineNumbers w:val="0"/>
                    <w:spacing w:line="355" w:lineRule="atLeast"/>
                    <w:jc w:val="right"/>
                    <w:rPr>
                      <w:rFonts w:hint="default" w:ascii="Arial" w:hAnsi="Arial" w:cs="Arial"/>
                      <w:sz w:val="22"/>
                      <w:szCs w:val="22"/>
                    </w:rPr>
                  </w:pPr>
                  <w:r>
                    <w:rPr>
                      <w:rFonts w:hint="default" w:ascii="Arial" w:hAnsi="Arial" w:eastAsia="宋体" w:cs="Arial"/>
                      <w:kern w:val="0"/>
                      <w:sz w:val="22"/>
                      <w:szCs w:val="22"/>
                      <w:lang w:val="en-US" w:eastAsia="zh-CN" w:bidi="ar"/>
                    </w:rPr>
                    <w:t>                             教育部社会科学司</w:t>
                  </w:r>
                </w:p>
                <w:p>
                  <w:pPr>
                    <w:keepNext w:val="0"/>
                    <w:keepLines w:val="0"/>
                    <w:widowControl/>
                    <w:suppressLineNumbers w:val="0"/>
                    <w:spacing w:line="355" w:lineRule="atLeast"/>
                    <w:jc w:val="right"/>
                    <w:rPr>
                      <w:rFonts w:hint="default" w:ascii="Arial" w:hAnsi="Arial" w:cs="Arial"/>
                      <w:sz w:val="22"/>
                      <w:szCs w:val="22"/>
                    </w:rPr>
                  </w:pPr>
                  <w:r>
                    <w:rPr>
                      <w:rFonts w:hint="default" w:ascii="Arial" w:hAnsi="Arial" w:eastAsia="宋体" w:cs="Arial"/>
                      <w:kern w:val="0"/>
                      <w:sz w:val="22"/>
                      <w:szCs w:val="22"/>
                      <w:lang w:val="en-US" w:eastAsia="zh-CN" w:bidi="ar"/>
                    </w:rPr>
                    <w:t>                                2018年2月14日</w:t>
                  </w:r>
                </w:p>
              </w:tc>
            </w:tr>
          </w:tbl>
          <w:p>
            <w:pPr>
              <w:jc w:val="center"/>
              <w:rPr>
                <w:rFonts w:hint="eastAsia" w:ascii="宋体" w:hAnsi="宋体" w:eastAsia="宋体" w:cs="宋体"/>
                <w:caps w:val="0"/>
                <w:spacing w:val="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E5745"/>
    <w:rsid w:val="766E574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2018-03-06T02:15:00Z</dcterms:created>
  <dc:creator>aa</dc:creator>
  <cp:lastModifiedBy>aa</cp:lastModifiedBy>
  <dcterms:modified xsi:type="dcterms:W3CDTF">2018-03-06T02:18:07Z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